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DDB5" w14:textId="77777777" w:rsidR="00F45378" w:rsidRPr="000C5C06" w:rsidRDefault="00F45378" w:rsidP="00F45378">
      <w:pPr>
        <w:spacing w:line="240" w:lineRule="auto"/>
        <w:jc w:val="center"/>
        <w:rPr>
          <w:rFonts w:ascii="Trebuchet MS" w:hAnsi="Trebuchet MS"/>
          <w:b/>
          <w:sz w:val="20"/>
          <w:szCs w:val="20"/>
        </w:rPr>
      </w:pPr>
      <w:r w:rsidRPr="000C5C06">
        <w:rPr>
          <w:rFonts w:ascii="Trebuchet MS" w:hAnsi="Trebuchet MS"/>
          <w:b/>
          <w:sz w:val="20"/>
          <w:szCs w:val="20"/>
        </w:rPr>
        <w:t>Tarkvaraarenduse tüüplepingu versioon 1.0</w:t>
      </w:r>
    </w:p>
    <w:p w14:paraId="471E3D46" w14:textId="77777777" w:rsidR="00F45378" w:rsidRPr="000C5C06" w:rsidRDefault="00F45378" w:rsidP="00F45378">
      <w:pPr>
        <w:spacing w:line="240" w:lineRule="auto"/>
        <w:jc w:val="both"/>
        <w:rPr>
          <w:rFonts w:ascii="Trebuchet MS" w:hAnsi="Trebuchet MS"/>
          <w:sz w:val="20"/>
          <w:szCs w:val="20"/>
        </w:rPr>
      </w:pPr>
    </w:p>
    <w:p w14:paraId="6E217C12" w14:textId="77777777" w:rsidR="00F45378" w:rsidRPr="000C5C06" w:rsidRDefault="00F45378" w:rsidP="00F45378">
      <w:pPr>
        <w:spacing w:line="240" w:lineRule="auto"/>
        <w:jc w:val="both"/>
        <w:rPr>
          <w:rFonts w:ascii="Trebuchet MS" w:hAnsi="Trebuchet MS"/>
          <w:sz w:val="20"/>
          <w:szCs w:val="20"/>
        </w:rPr>
      </w:pPr>
      <w:r w:rsidRPr="000C5C06">
        <w:rPr>
          <w:rFonts w:ascii="Trebuchet MS" w:hAnsi="Trebuchet MS"/>
          <w:sz w:val="20"/>
          <w:szCs w:val="20"/>
        </w:rPr>
        <w:t xml:space="preserve">Tarkvaraarenduse tüüplepingu versioon 1.0 tugineb riigi ja erasektori koostöö edendamise algatuse raames tegutsenud lepingute töörühma tulemil. Struktuurfondide vahendite kasutamisel on </w:t>
      </w:r>
      <w:r w:rsidR="000C5C06">
        <w:rPr>
          <w:rFonts w:ascii="Trebuchet MS" w:hAnsi="Trebuchet MS"/>
          <w:sz w:val="20"/>
          <w:szCs w:val="20"/>
        </w:rPr>
        <w:t>see leping näidiseks SF-</w:t>
      </w:r>
      <w:r w:rsidRPr="000C5C06">
        <w:rPr>
          <w:rFonts w:ascii="Trebuchet MS" w:hAnsi="Trebuchet MS"/>
          <w:sz w:val="20"/>
          <w:szCs w:val="20"/>
        </w:rPr>
        <w:t xml:space="preserve">st rahastavate arenduslepingutes kasutatavate põhimõtete rakendamisel.  </w:t>
      </w:r>
    </w:p>
    <w:p w14:paraId="15A1AFFC" w14:textId="77777777" w:rsidR="00F45378" w:rsidRPr="000C5C06" w:rsidRDefault="00F45378" w:rsidP="00F45378">
      <w:pPr>
        <w:spacing w:line="240" w:lineRule="auto"/>
        <w:jc w:val="both"/>
        <w:rPr>
          <w:rFonts w:ascii="Trebuchet MS" w:hAnsi="Trebuchet MS"/>
          <w:sz w:val="20"/>
          <w:szCs w:val="20"/>
        </w:rPr>
      </w:pPr>
      <w:r w:rsidRPr="000C5C06">
        <w:rPr>
          <w:rFonts w:ascii="Trebuchet MS" w:hAnsi="Trebuchet MS"/>
          <w:sz w:val="20"/>
          <w:szCs w:val="20"/>
        </w:rPr>
        <w:t>Riigi ja erasektori koostöö edendamise algatuse eesmärk on parandada riigi ja erasektori vahelist koostööd, parandada riigihangete kvaliteeti, atraktiivsust ja läbipaistvust erasektori jaoks. Analüüsides koostöö praeguseid valupunkte</w:t>
      </w:r>
      <w:r w:rsidR="000C5C06">
        <w:rPr>
          <w:rFonts w:ascii="Trebuchet MS" w:hAnsi="Trebuchet MS"/>
          <w:sz w:val="20"/>
          <w:szCs w:val="20"/>
        </w:rPr>
        <w:t>,</w:t>
      </w:r>
      <w:r w:rsidRPr="000C5C06">
        <w:rPr>
          <w:rFonts w:ascii="Trebuchet MS" w:hAnsi="Trebuchet MS"/>
          <w:sz w:val="20"/>
          <w:szCs w:val="20"/>
        </w:rPr>
        <w:t xml:space="preserve"> moodustati Korraldava Kogu eestvedamisel kolm töörühma – Lepingute töörühm, Soodsaima lahenduse töörühm ja Suure pildi töörühm. Töörühmadesse panustasid suuremad avaliku sektori tarkvaralahenduste tellijad ning ITL</w:t>
      </w:r>
      <w:r w:rsidR="000C5C06">
        <w:rPr>
          <w:rFonts w:ascii="Trebuchet MS" w:hAnsi="Trebuchet MS"/>
          <w:sz w:val="20"/>
          <w:szCs w:val="20"/>
        </w:rPr>
        <w:t>-</w:t>
      </w:r>
      <w:r w:rsidRPr="000C5C06">
        <w:rPr>
          <w:rFonts w:ascii="Trebuchet MS" w:hAnsi="Trebuchet MS"/>
          <w:sz w:val="20"/>
          <w:szCs w:val="20"/>
        </w:rPr>
        <w:t>i esindajad</w:t>
      </w:r>
      <w:r w:rsidRPr="000C5C06">
        <w:rPr>
          <w:rStyle w:val="FootnoteReference"/>
          <w:rFonts w:ascii="Trebuchet MS" w:hAnsi="Trebuchet MS"/>
          <w:sz w:val="20"/>
          <w:szCs w:val="20"/>
        </w:rPr>
        <w:footnoteReference w:id="1"/>
      </w:r>
      <w:r w:rsidRPr="000C5C06">
        <w:rPr>
          <w:rFonts w:ascii="Trebuchet MS" w:hAnsi="Trebuchet MS"/>
          <w:sz w:val="20"/>
          <w:szCs w:val="20"/>
        </w:rPr>
        <w:t xml:space="preserve">. </w:t>
      </w:r>
    </w:p>
    <w:p w14:paraId="76E90A52" w14:textId="77777777" w:rsidR="00F45378" w:rsidRPr="000C5C06" w:rsidRDefault="00F45378" w:rsidP="00F45378">
      <w:pPr>
        <w:spacing w:line="240" w:lineRule="auto"/>
        <w:jc w:val="both"/>
        <w:rPr>
          <w:rFonts w:ascii="Trebuchet MS" w:hAnsi="Trebuchet MS"/>
          <w:sz w:val="20"/>
          <w:szCs w:val="20"/>
        </w:rPr>
      </w:pPr>
      <w:r w:rsidRPr="000C5C06">
        <w:rPr>
          <w:rFonts w:ascii="Trebuchet MS" w:hAnsi="Trebuchet MS"/>
          <w:sz w:val="20"/>
          <w:szCs w:val="20"/>
        </w:rPr>
        <w:t xml:space="preserve">Lepingute töörühma eesmärk </w:t>
      </w:r>
      <w:bookmarkStart w:id="0" w:name="_GoBack"/>
      <w:bookmarkEnd w:id="0"/>
      <w:r w:rsidRPr="000C5C06">
        <w:rPr>
          <w:rFonts w:ascii="Trebuchet MS" w:hAnsi="Trebuchet MS"/>
          <w:sz w:val="20"/>
          <w:szCs w:val="20"/>
        </w:rPr>
        <w:t>oli koostada nimekiri lepingute koostamise põhimõtetest, mida järgides on nii avaliku kui ka erasektori huvid mõistlikult kaetud ning loodud tasakaalus raam vastastikuseks koostööks. Selline tasakaalustatud raam tagab olukorra, kus avalik sektor on konkurentsivõimeline tellija ning on loodud eeldused selleks, et turu parimad pakkujad oleksid motiveeritud avalikku sektorit teenindama.</w:t>
      </w:r>
    </w:p>
    <w:p w14:paraId="653DD955" w14:textId="77777777" w:rsidR="00F45378" w:rsidRPr="000C5C06" w:rsidRDefault="00F45378" w:rsidP="00F45378">
      <w:pPr>
        <w:spacing w:line="240" w:lineRule="auto"/>
        <w:jc w:val="both"/>
        <w:rPr>
          <w:rFonts w:ascii="Trebuchet MS" w:hAnsi="Trebuchet MS"/>
          <w:sz w:val="20"/>
          <w:szCs w:val="20"/>
        </w:rPr>
      </w:pPr>
      <w:r w:rsidRPr="000C5C06">
        <w:rPr>
          <w:rFonts w:ascii="Trebuchet MS" w:hAnsi="Trebuchet MS"/>
          <w:sz w:val="20"/>
          <w:szCs w:val="20"/>
        </w:rPr>
        <w:t>Peamiseks märksõnaks on mõistlik tasakaal poolte lepi</w:t>
      </w:r>
      <w:r w:rsidR="000C5C06">
        <w:rPr>
          <w:rFonts w:ascii="Trebuchet MS" w:hAnsi="Trebuchet MS"/>
          <w:sz w:val="20"/>
          <w:szCs w:val="20"/>
        </w:rPr>
        <w:t>nguliste õiguste ja</w:t>
      </w:r>
      <w:r w:rsidRPr="000C5C06">
        <w:rPr>
          <w:rFonts w:ascii="Trebuchet MS" w:hAnsi="Trebuchet MS"/>
          <w:sz w:val="20"/>
          <w:szCs w:val="20"/>
        </w:rPr>
        <w:t xml:space="preserve"> kohustuste osas, kuna mahukaid tarkvaraarenduse projekte on võimalik edukalt ellu viia vaid juhul, kui mõlemad osapooled oma vastutust selgelt teadvustavad ning eesmärkide täitmisesse ühiselt panustavad.</w:t>
      </w:r>
    </w:p>
    <w:p w14:paraId="10C7814D" w14:textId="77777777" w:rsidR="00F45378" w:rsidRPr="000C5C06" w:rsidRDefault="00F45378" w:rsidP="00F45378">
      <w:pPr>
        <w:spacing w:line="240" w:lineRule="auto"/>
        <w:jc w:val="both"/>
        <w:rPr>
          <w:rFonts w:ascii="Trebuchet MS" w:hAnsi="Trebuchet MS"/>
          <w:sz w:val="20"/>
          <w:szCs w:val="20"/>
        </w:rPr>
      </w:pPr>
      <w:r w:rsidRPr="000C5C06">
        <w:rPr>
          <w:rFonts w:ascii="Trebuchet MS" w:hAnsi="Trebuchet MS"/>
          <w:sz w:val="20"/>
          <w:szCs w:val="20"/>
        </w:rPr>
        <w:t xml:space="preserve">Lepingute töörühma esimene eesmärk oli analüüsida suuremate avaliku sektori tellijate tarkvaraarenduse tüüplepinguid ning jõuda ettepanekuteni, milliseid muudatusi ja täiendusi oleks vaja ja saaks lepingutesse teha, et lepingud mõlema poole jaoks piisavalt atraktiivsed ning tasakaalus oleksid. Töörühmas töötati välja põhimõtted, millest pooled võiksid lähtuda tarkvara hankelepingute väljatöötamisel, ettevalmistamisel ja lepingu läbirääkimistel. Tüüplepingu näidist on võimalik kasutada nii juhendmaterjalina kui </w:t>
      </w:r>
      <w:r w:rsidR="000C5C06">
        <w:rPr>
          <w:rFonts w:ascii="Trebuchet MS" w:hAnsi="Trebuchet MS"/>
          <w:sz w:val="20"/>
          <w:szCs w:val="20"/>
        </w:rPr>
        <w:t xml:space="preserve">ka rakendada </w:t>
      </w:r>
      <w:r w:rsidRPr="000C5C06">
        <w:rPr>
          <w:rFonts w:ascii="Trebuchet MS" w:hAnsi="Trebuchet MS"/>
          <w:i/>
          <w:sz w:val="20"/>
          <w:szCs w:val="20"/>
        </w:rPr>
        <w:t xml:space="preserve">as </w:t>
      </w:r>
      <w:proofErr w:type="spellStart"/>
      <w:r w:rsidRPr="000C5C06">
        <w:rPr>
          <w:rFonts w:ascii="Trebuchet MS" w:hAnsi="Trebuchet MS"/>
          <w:i/>
          <w:sz w:val="20"/>
          <w:szCs w:val="20"/>
        </w:rPr>
        <w:t>is</w:t>
      </w:r>
      <w:proofErr w:type="spellEnd"/>
      <w:r w:rsidRPr="000C5C06">
        <w:rPr>
          <w:rFonts w:ascii="Trebuchet MS" w:hAnsi="Trebuchet MS"/>
          <w:i/>
          <w:sz w:val="20"/>
          <w:szCs w:val="20"/>
        </w:rPr>
        <w:t xml:space="preserve"> </w:t>
      </w:r>
      <w:r w:rsidRPr="000C5C06">
        <w:rPr>
          <w:rFonts w:ascii="Trebuchet MS" w:hAnsi="Trebuchet MS"/>
          <w:sz w:val="20"/>
          <w:szCs w:val="20"/>
        </w:rPr>
        <w:t xml:space="preserve">lepinguna tarkvaraarendusprojektide tellimisel. Tüüplepingule on lubatud viidata vaid juhul, kui tegemist on </w:t>
      </w:r>
      <w:r w:rsidRPr="000C5C06">
        <w:rPr>
          <w:rFonts w:ascii="Trebuchet MS" w:hAnsi="Trebuchet MS"/>
          <w:i/>
          <w:sz w:val="20"/>
          <w:szCs w:val="20"/>
        </w:rPr>
        <w:t xml:space="preserve">as </w:t>
      </w:r>
      <w:proofErr w:type="spellStart"/>
      <w:r w:rsidRPr="000C5C06">
        <w:rPr>
          <w:rFonts w:ascii="Trebuchet MS" w:hAnsi="Trebuchet MS"/>
          <w:i/>
          <w:sz w:val="20"/>
          <w:szCs w:val="20"/>
        </w:rPr>
        <w:t>is</w:t>
      </w:r>
      <w:proofErr w:type="spellEnd"/>
      <w:r w:rsidRPr="000C5C06">
        <w:rPr>
          <w:rFonts w:ascii="Trebuchet MS" w:hAnsi="Trebuchet MS"/>
          <w:i/>
          <w:sz w:val="20"/>
          <w:szCs w:val="20"/>
        </w:rPr>
        <w:t xml:space="preserve"> </w:t>
      </w:r>
      <w:r w:rsidRPr="000C5C06">
        <w:rPr>
          <w:rFonts w:ascii="Trebuchet MS" w:hAnsi="Trebuchet MS"/>
          <w:sz w:val="20"/>
          <w:szCs w:val="20"/>
        </w:rPr>
        <w:t xml:space="preserve">kasutamisega („Tarkvaraarenduse tüüplepingu versioon 1.0“).  </w:t>
      </w:r>
    </w:p>
    <w:p w14:paraId="50B81E45" w14:textId="77777777" w:rsidR="00F45378" w:rsidRPr="000C5C06" w:rsidRDefault="00F45378" w:rsidP="00F45378">
      <w:pPr>
        <w:spacing w:line="240" w:lineRule="auto"/>
        <w:jc w:val="both"/>
        <w:rPr>
          <w:rFonts w:ascii="Trebuchet MS" w:hAnsi="Trebuchet MS"/>
          <w:sz w:val="20"/>
          <w:szCs w:val="20"/>
        </w:rPr>
      </w:pPr>
      <w:r w:rsidRPr="000C5C06">
        <w:rPr>
          <w:rFonts w:ascii="Trebuchet MS" w:hAnsi="Trebuchet MS"/>
          <w:sz w:val="20"/>
          <w:szCs w:val="20"/>
        </w:rPr>
        <w:t>Tüüplepingu väljatöötamisel on lähtutud eesmärgist luua leping</w:t>
      </w:r>
      <w:r w:rsidR="00041420">
        <w:rPr>
          <w:rFonts w:ascii="Trebuchet MS" w:hAnsi="Trebuchet MS"/>
          <w:sz w:val="20"/>
          <w:szCs w:val="20"/>
        </w:rPr>
        <w:t>,</w:t>
      </w:r>
      <w:r w:rsidRPr="000C5C06">
        <w:rPr>
          <w:rFonts w:ascii="Trebuchet MS" w:hAnsi="Trebuchet MS"/>
          <w:sz w:val="20"/>
          <w:szCs w:val="20"/>
        </w:rPr>
        <w:t xml:space="preserve"> mis toetab mahukate tarkvaraaredusprojektide elluviimist. Tüüpleping on jaotatud kolmeks osaks:</w:t>
      </w:r>
    </w:p>
    <w:p w14:paraId="426E18DB" w14:textId="77777777" w:rsidR="00F45378" w:rsidRPr="000C5C06" w:rsidRDefault="00F45378" w:rsidP="00F45378">
      <w:pPr>
        <w:pStyle w:val="ListParagraph"/>
        <w:numPr>
          <w:ilvl w:val="0"/>
          <w:numId w:val="1"/>
        </w:numPr>
        <w:spacing w:line="240" w:lineRule="auto"/>
        <w:jc w:val="both"/>
        <w:rPr>
          <w:rFonts w:ascii="Trebuchet MS" w:hAnsi="Trebuchet MS"/>
          <w:sz w:val="20"/>
          <w:szCs w:val="20"/>
        </w:rPr>
      </w:pPr>
      <w:r w:rsidRPr="000C5C06">
        <w:rPr>
          <w:rFonts w:ascii="Trebuchet MS" w:hAnsi="Trebuchet MS"/>
          <w:sz w:val="20"/>
          <w:szCs w:val="20"/>
        </w:rPr>
        <w:t>Üldtingimused</w:t>
      </w:r>
      <w:r w:rsidR="00041420">
        <w:rPr>
          <w:rFonts w:ascii="Trebuchet MS" w:hAnsi="Trebuchet MS"/>
          <w:sz w:val="20"/>
          <w:szCs w:val="20"/>
        </w:rPr>
        <w:t xml:space="preserve"> </w:t>
      </w:r>
      <w:r w:rsidRPr="000C5C06">
        <w:rPr>
          <w:rFonts w:ascii="Trebuchet MS" w:hAnsi="Trebuchet MS"/>
          <w:sz w:val="20"/>
          <w:szCs w:val="20"/>
        </w:rPr>
        <w:t>- püsivad muutumatutena, määratleb lepingu</w:t>
      </w:r>
      <w:r w:rsidR="00041420">
        <w:rPr>
          <w:rFonts w:ascii="Trebuchet MS" w:hAnsi="Trebuchet MS"/>
          <w:sz w:val="20"/>
          <w:szCs w:val="20"/>
        </w:rPr>
        <w:t>poolte</w:t>
      </w:r>
      <w:r w:rsidRPr="000C5C06">
        <w:rPr>
          <w:rFonts w:ascii="Trebuchet MS" w:hAnsi="Trebuchet MS"/>
          <w:sz w:val="20"/>
          <w:szCs w:val="20"/>
        </w:rPr>
        <w:t xml:space="preserve"> üldised õigused ja kohustused;</w:t>
      </w:r>
    </w:p>
    <w:p w14:paraId="14BC5098" w14:textId="77777777" w:rsidR="00F45378" w:rsidRPr="000C5C06" w:rsidRDefault="00F45378" w:rsidP="00F45378">
      <w:pPr>
        <w:pStyle w:val="ListParagraph"/>
        <w:numPr>
          <w:ilvl w:val="0"/>
          <w:numId w:val="1"/>
        </w:numPr>
        <w:spacing w:line="240" w:lineRule="auto"/>
        <w:jc w:val="both"/>
        <w:rPr>
          <w:rFonts w:ascii="Trebuchet MS" w:hAnsi="Trebuchet MS"/>
          <w:sz w:val="20"/>
          <w:szCs w:val="20"/>
        </w:rPr>
      </w:pPr>
      <w:r w:rsidRPr="000C5C06">
        <w:rPr>
          <w:rFonts w:ascii="Trebuchet MS" w:hAnsi="Trebuchet MS"/>
          <w:sz w:val="20"/>
          <w:szCs w:val="20"/>
        </w:rPr>
        <w:t>Kodukord</w:t>
      </w:r>
      <w:r w:rsidR="00041420">
        <w:rPr>
          <w:rFonts w:ascii="Trebuchet MS" w:hAnsi="Trebuchet MS"/>
          <w:sz w:val="20"/>
          <w:szCs w:val="20"/>
        </w:rPr>
        <w:t xml:space="preserve"> - arendusp</w:t>
      </w:r>
      <w:r w:rsidRPr="000C5C06">
        <w:rPr>
          <w:rFonts w:ascii="Trebuchet MS" w:hAnsi="Trebuchet MS"/>
          <w:sz w:val="20"/>
          <w:szCs w:val="20"/>
        </w:rPr>
        <w:t>rojekti käigus teostavate tegevuste, nende tegevuste teostamise eest vastutajate, tegevuste tulemusel valmivate tulemite ning nende tulemite omavaheliste seoste/sõltuvuste, samuti tulemite valmimise eelduseks oleva täitja ja tellija omavahelise suhtluse ning tagasisid</w:t>
      </w:r>
      <w:r w:rsidR="00041420">
        <w:rPr>
          <w:rFonts w:ascii="Trebuchet MS" w:hAnsi="Trebuchet MS"/>
          <w:sz w:val="20"/>
          <w:szCs w:val="20"/>
        </w:rPr>
        <w:t>e edastamise kord. Kodukord on l</w:t>
      </w:r>
      <w:r w:rsidRPr="000C5C06">
        <w:rPr>
          <w:rFonts w:ascii="Trebuchet MS" w:hAnsi="Trebuchet MS"/>
          <w:sz w:val="20"/>
          <w:szCs w:val="20"/>
        </w:rPr>
        <w:t>epingu</w:t>
      </w:r>
      <w:r w:rsidR="00041420">
        <w:rPr>
          <w:rFonts w:ascii="Trebuchet MS" w:hAnsi="Trebuchet MS"/>
          <w:sz w:val="20"/>
          <w:szCs w:val="20"/>
        </w:rPr>
        <w:t xml:space="preserve"> lahutamatuks</w:t>
      </w:r>
      <w:r w:rsidRPr="000C5C06">
        <w:rPr>
          <w:rFonts w:ascii="Trebuchet MS" w:hAnsi="Trebuchet MS"/>
          <w:sz w:val="20"/>
          <w:szCs w:val="20"/>
        </w:rPr>
        <w:t xml:space="preserve"> lisaks;</w:t>
      </w:r>
    </w:p>
    <w:p w14:paraId="176C9231" w14:textId="77777777" w:rsidR="00F45378" w:rsidRPr="000C5C06" w:rsidRDefault="00F45378" w:rsidP="00F45378">
      <w:pPr>
        <w:pStyle w:val="ListParagraph"/>
        <w:numPr>
          <w:ilvl w:val="0"/>
          <w:numId w:val="1"/>
        </w:numPr>
        <w:spacing w:line="240" w:lineRule="auto"/>
        <w:jc w:val="both"/>
        <w:rPr>
          <w:rFonts w:ascii="Trebuchet MS" w:hAnsi="Trebuchet MS"/>
          <w:sz w:val="20"/>
          <w:szCs w:val="20"/>
        </w:rPr>
      </w:pPr>
      <w:r w:rsidRPr="000C5C06">
        <w:rPr>
          <w:rFonts w:ascii="Trebuchet MS" w:hAnsi="Trebuchet MS"/>
          <w:sz w:val="20"/>
          <w:szCs w:val="20"/>
        </w:rPr>
        <w:t>Eritingimused</w:t>
      </w:r>
      <w:r w:rsidR="00041420">
        <w:rPr>
          <w:rFonts w:ascii="Trebuchet MS" w:hAnsi="Trebuchet MS"/>
          <w:sz w:val="20"/>
          <w:szCs w:val="20"/>
        </w:rPr>
        <w:t xml:space="preserve"> </w:t>
      </w:r>
      <w:r w:rsidRPr="000C5C06">
        <w:rPr>
          <w:rFonts w:ascii="Trebuchet MS" w:hAnsi="Trebuchet MS"/>
          <w:sz w:val="20"/>
          <w:szCs w:val="20"/>
        </w:rPr>
        <w:t>- lepitakse kokku lepingu üldtingimustes või kodukorras käsitlemata või üldtingimusi või kodukorda täpsustavates küsimustes. Pooled võivad lepingu eritingimustes kokku leppida ka erisusi üldtingimustest, kuid nende puudumisel kohaldatakse üldtingimusi.</w:t>
      </w:r>
    </w:p>
    <w:p w14:paraId="3B311367" w14:textId="77777777" w:rsidR="00F45378" w:rsidRPr="000C5C06" w:rsidRDefault="00F45378" w:rsidP="00F45378">
      <w:pPr>
        <w:spacing w:line="240" w:lineRule="auto"/>
        <w:jc w:val="both"/>
        <w:rPr>
          <w:rFonts w:ascii="Trebuchet MS" w:hAnsi="Trebuchet MS"/>
          <w:sz w:val="20"/>
          <w:szCs w:val="20"/>
        </w:rPr>
      </w:pPr>
      <w:r w:rsidRPr="000C5C06">
        <w:rPr>
          <w:rFonts w:ascii="Trebuchet MS" w:hAnsi="Trebuchet MS"/>
          <w:sz w:val="20"/>
          <w:szCs w:val="20"/>
        </w:rPr>
        <w:t xml:space="preserve">Tüüplepingu näol </w:t>
      </w:r>
      <w:r w:rsidR="00041420">
        <w:rPr>
          <w:rFonts w:ascii="Trebuchet MS" w:hAnsi="Trebuchet MS"/>
          <w:sz w:val="20"/>
          <w:szCs w:val="20"/>
        </w:rPr>
        <w:t xml:space="preserve">on tegemist </w:t>
      </w:r>
      <w:r w:rsidRPr="000C5C06">
        <w:rPr>
          <w:rFonts w:ascii="Trebuchet MS" w:hAnsi="Trebuchet MS"/>
          <w:sz w:val="20"/>
          <w:szCs w:val="20"/>
        </w:rPr>
        <w:t xml:space="preserve">tüüptingimuste ettepanekuga ning nendesse saab poolte kokkuleppel ja mõjuval põhjusel erandeid sisse tuua. Kui osade põhimõtete kasutuselevõtt ei ole mingil põhjusel võimalik, siis tuleks kasutuselevõtu kitsendused ka </w:t>
      </w:r>
      <w:r w:rsidR="00041420">
        <w:rPr>
          <w:rFonts w:ascii="Trebuchet MS" w:hAnsi="Trebuchet MS"/>
          <w:sz w:val="20"/>
          <w:szCs w:val="20"/>
        </w:rPr>
        <w:t>sõnaselgelt välja tuua. K</w:t>
      </w:r>
      <w:r w:rsidRPr="000C5C06">
        <w:rPr>
          <w:rFonts w:ascii="Trebuchet MS" w:hAnsi="Trebuchet MS"/>
          <w:sz w:val="20"/>
          <w:szCs w:val="20"/>
        </w:rPr>
        <w:t xml:space="preserve">ui üldtingimustest ja kodukorrast on vajalik kokku leppida teisiti, tuleb </w:t>
      </w:r>
      <w:r w:rsidR="00041420">
        <w:rPr>
          <w:rFonts w:ascii="Trebuchet MS" w:hAnsi="Trebuchet MS"/>
          <w:sz w:val="20"/>
          <w:szCs w:val="20"/>
        </w:rPr>
        <w:t xml:space="preserve">need </w:t>
      </w:r>
      <w:r w:rsidRPr="000C5C06">
        <w:rPr>
          <w:rFonts w:ascii="Trebuchet MS" w:hAnsi="Trebuchet MS"/>
          <w:sz w:val="20"/>
          <w:szCs w:val="20"/>
        </w:rPr>
        <w:t xml:space="preserve">tingimused välja tuua eritingimustes. </w:t>
      </w:r>
    </w:p>
    <w:p w14:paraId="64C239B2" w14:textId="77777777" w:rsidR="00975808" w:rsidRPr="000C5C06" w:rsidRDefault="00975808">
      <w:pPr>
        <w:rPr>
          <w:rFonts w:ascii="Trebuchet MS" w:hAnsi="Trebuchet MS"/>
        </w:rPr>
      </w:pPr>
    </w:p>
    <w:sectPr w:rsidR="00975808" w:rsidRPr="000C5C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A4FE1" w14:textId="77777777" w:rsidR="001D0058" w:rsidRDefault="001D0058" w:rsidP="00F45378">
      <w:pPr>
        <w:spacing w:before="0" w:after="0" w:line="240" w:lineRule="auto"/>
      </w:pPr>
      <w:r>
        <w:separator/>
      </w:r>
    </w:p>
  </w:endnote>
  <w:endnote w:type="continuationSeparator" w:id="0">
    <w:p w14:paraId="1E5F7022" w14:textId="77777777" w:rsidR="001D0058" w:rsidRDefault="001D0058" w:rsidP="00F453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30C32" w14:textId="77777777" w:rsidR="001D0058" w:rsidRDefault="001D0058" w:rsidP="00F45378">
      <w:pPr>
        <w:spacing w:before="0" w:after="0" w:line="240" w:lineRule="auto"/>
      </w:pPr>
      <w:r>
        <w:separator/>
      </w:r>
    </w:p>
  </w:footnote>
  <w:footnote w:type="continuationSeparator" w:id="0">
    <w:p w14:paraId="0F089927" w14:textId="77777777" w:rsidR="001D0058" w:rsidRDefault="001D0058" w:rsidP="00F45378">
      <w:pPr>
        <w:spacing w:before="0" w:after="0" w:line="240" w:lineRule="auto"/>
      </w:pPr>
      <w:r>
        <w:continuationSeparator/>
      </w:r>
    </w:p>
  </w:footnote>
  <w:footnote w:id="1">
    <w:p w14:paraId="62F12620" w14:textId="77777777" w:rsidR="00F45378" w:rsidRPr="000C5C06" w:rsidRDefault="00F45378" w:rsidP="00041420">
      <w:pPr>
        <w:spacing w:before="0" w:after="0" w:line="240" w:lineRule="auto"/>
        <w:rPr>
          <w:rFonts w:ascii="Trebuchet MS" w:hAnsi="Trebuchet MS" w:cstheme="minorHAnsi"/>
          <w:sz w:val="20"/>
          <w:szCs w:val="20"/>
        </w:rPr>
      </w:pPr>
      <w:r w:rsidRPr="000C5C06">
        <w:rPr>
          <w:rStyle w:val="FootnoteReference"/>
          <w:rFonts w:ascii="Trebuchet MS" w:hAnsi="Trebuchet MS"/>
          <w:sz w:val="20"/>
          <w:szCs w:val="20"/>
        </w:rPr>
        <w:footnoteRef/>
      </w:r>
      <w:r w:rsidRPr="000C5C06">
        <w:rPr>
          <w:rFonts w:ascii="Trebuchet MS" w:hAnsi="Trebuchet MS"/>
          <w:sz w:val="20"/>
          <w:szCs w:val="20"/>
        </w:rPr>
        <w:t xml:space="preserve"> </w:t>
      </w:r>
      <w:r w:rsidRPr="000C5C06">
        <w:rPr>
          <w:rFonts w:ascii="Trebuchet MS" w:hAnsi="Trebuchet MS" w:cstheme="minorHAnsi"/>
          <w:sz w:val="20"/>
          <w:szCs w:val="20"/>
        </w:rPr>
        <w:t xml:space="preserve">Lähemalt koostööst ja panustanud pooltest:  </w:t>
      </w:r>
      <w:hyperlink r:id="rId1" w:history="1">
        <w:r w:rsidR="000C5C06" w:rsidRPr="00697F70">
          <w:rPr>
            <w:rStyle w:val="Hyperlink"/>
            <w:rFonts w:ascii="Trebuchet MS" w:hAnsi="Trebuchet MS" w:cstheme="minorHAnsi"/>
            <w:sz w:val="20"/>
            <w:szCs w:val="20"/>
          </w:rPr>
          <w:t>https://itpraktikud.eesti.ee/dokuwiki/itari:toogrupid:erasektor:start</w:t>
        </w:r>
      </w:hyperlink>
      <w:r w:rsidR="000C5C06">
        <w:rPr>
          <w:rFonts w:ascii="Trebuchet MS" w:hAnsi="Trebuchet MS" w:cstheme="minorHAnsi"/>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90D4C"/>
    <w:multiLevelType w:val="hybridMultilevel"/>
    <w:tmpl w:val="9014BD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78"/>
    <w:rsid w:val="00041420"/>
    <w:rsid w:val="000C5C06"/>
    <w:rsid w:val="001D0058"/>
    <w:rsid w:val="00975808"/>
    <w:rsid w:val="00BA1D4D"/>
    <w:rsid w:val="00F4537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76AF"/>
  <w15:docId w15:val="{BF2CCF7B-BEB8-4DD5-B01C-B7123612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378"/>
    <w:pPr>
      <w:spacing w:before="120" w:after="120"/>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F45378"/>
    <w:rPr>
      <w:rFonts w:cs="Times New Roman"/>
      <w:vertAlign w:val="superscript"/>
    </w:rPr>
  </w:style>
  <w:style w:type="paragraph" w:styleId="FootnoteText">
    <w:name w:val="footnote text"/>
    <w:basedOn w:val="Normal"/>
    <w:link w:val="FootnoteTextChar"/>
    <w:rsid w:val="00F45378"/>
    <w:pPr>
      <w:spacing w:before="0" w:after="0" w:line="240" w:lineRule="auto"/>
    </w:pPr>
    <w:rPr>
      <w:rFonts w:eastAsia="Times New Roman"/>
      <w:sz w:val="20"/>
      <w:szCs w:val="20"/>
      <w:lang w:val="fr-FR"/>
    </w:rPr>
  </w:style>
  <w:style w:type="character" w:customStyle="1" w:styleId="FootnoteTextChar">
    <w:name w:val="Footnote Text Char"/>
    <w:basedOn w:val="DefaultParagraphFont"/>
    <w:link w:val="FootnoteText"/>
    <w:rsid w:val="00F45378"/>
    <w:rPr>
      <w:rFonts w:ascii="Calibri" w:eastAsia="Times New Roman" w:hAnsi="Calibri" w:cs="Times New Roman"/>
      <w:sz w:val="20"/>
      <w:szCs w:val="20"/>
      <w:lang w:val="fr-FR"/>
    </w:rPr>
  </w:style>
  <w:style w:type="paragraph" w:styleId="ListParagraph">
    <w:name w:val="List Paragraph"/>
    <w:basedOn w:val="Normal"/>
    <w:uiPriority w:val="34"/>
    <w:qFormat/>
    <w:rsid w:val="00F45378"/>
    <w:pPr>
      <w:ind w:left="720"/>
      <w:contextualSpacing/>
    </w:pPr>
  </w:style>
  <w:style w:type="character" w:styleId="Hyperlink">
    <w:name w:val="Hyperlink"/>
    <w:basedOn w:val="DefaultParagraphFont"/>
    <w:uiPriority w:val="99"/>
    <w:unhideWhenUsed/>
    <w:rsid w:val="000C5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itpraktikud.eesti.ee/dokuwiki/itari:toogrupid:erasektor:start"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D3A198704C954882CAA79B8BAAFA83" ma:contentTypeVersion="18" ma:contentTypeDescription="Loo uus dokument" ma:contentTypeScope="" ma:versionID="f62d1d658d10d2e9a65dbbbd7ee75be1">
  <xsd:schema xmlns:xsd="http://www.w3.org/2001/XMLSchema" xmlns:xs="http://www.w3.org/2001/XMLSchema" xmlns:p="http://schemas.microsoft.com/office/2006/metadata/properties" xmlns:ns2="f9c4866b-30f9-435c-a654-b02a2198404e" xmlns:ns3="5ee038f0-6824-4b44-a7e3-ea41971539f1" xmlns:ns4="20f4a9f1-15ab-4aa8-bc21-8ea465a7e045" targetNamespace="http://schemas.microsoft.com/office/2006/metadata/properties" ma:root="true" ma:fieldsID="0e34a89ef9170e528eb7e8dcebc528f9" ns2:_="" ns3:_="" ns4:_="">
    <xsd:import namespace="f9c4866b-30f9-435c-a654-b02a2198404e"/>
    <xsd:import namespace="5ee038f0-6824-4b44-a7e3-ea41971539f1"/>
    <xsd:import namespace="20f4a9f1-15ab-4aa8-bc21-8ea465a7e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866b-30f9-435c-a654-b02a21984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Pildisildid" ma:readOnly="false" ma:fieldId="{5cf76f15-5ced-4ddc-b409-7134ff3c332f}" ma:taxonomyMulti="true" ma:sspId="11b832bc-7d09-4ffc-a2d1-04f53765f1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e038f0-6824-4b44-a7e3-ea41971539f1"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4a9f1-15ab-4aa8-bc21-8ea465a7e04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fa963de-80f2-4d68-a2c4-2f39ded54130}" ma:internalName="TaxCatchAll" ma:showField="CatchAllData" ma:web="20f4a9f1-15ab-4aa8-bc21-8ea465a7e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f4a9f1-15ab-4aa8-bc21-8ea465a7e045" xsi:nil="true"/>
    <lcf76f155ced4ddcb4097134ff3c332f xmlns="f9c4866b-30f9-435c-a654-b02a21984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CF405E-CB26-47D2-88E2-81178E855724}"/>
</file>

<file path=customXml/itemProps2.xml><?xml version="1.0" encoding="utf-8"?>
<ds:datastoreItem xmlns:ds="http://schemas.openxmlformats.org/officeDocument/2006/customXml" ds:itemID="{DA29C12D-CD9F-4284-AB03-784D5BE4EA09}"/>
</file>

<file path=customXml/itemProps3.xml><?xml version="1.0" encoding="utf-8"?>
<ds:datastoreItem xmlns:ds="http://schemas.openxmlformats.org/officeDocument/2006/customXml" ds:itemID="{45FBADE9-C1C9-4FB3-9A70-3D00EE438084}"/>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2946</Characters>
  <Application>Microsoft Office Word</Application>
  <DocSecurity>0</DocSecurity>
  <Lines>24</Lines>
  <Paragraphs>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Majandus- ja Kommunikatsiooniministeerium</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Kask</dc:creator>
  <cp:lastModifiedBy>PwC Legal</cp:lastModifiedBy>
  <cp:revision>2</cp:revision>
  <dcterms:created xsi:type="dcterms:W3CDTF">2021-03-23T15:02:00Z</dcterms:created>
  <dcterms:modified xsi:type="dcterms:W3CDTF">2021-03-23T15:02:00Z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0x0101000BD3A198704C954882CAA79B8BAAFA83</vt:lpwstr>
  </property>
</Properties>
</file>